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4F1D" w14:textId="7875080C" w:rsidR="00CA2CD7" w:rsidRDefault="00635D7A" w:rsidP="00EB33D3">
      <w:pPr>
        <w:pStyle w:val="Title"/>
      </w:pPr>
      <w:r>
        <w:rPr>
          <w:b w:val="0"/>
          <w:noProof/>
        </w:rPr>
        <w:drawing>
          <wp:anchor distT="0" distB="0" distL="114300" distR="114300" simplePos="0" relativeHeight="251653632" behindDoc="1" locked="0" layoutInCell="1" allowOverlap="1" wp14:anchorId="59335BA5" wp14:editId="19E01781">
            <wp:simplePos x="0" y="0"/>
            <wp:positionH relativeFrom="column">
              <wp:posOffset>-313074</wp:posOffset>
            </wp:positionH>
            <wp:positionV relativeFrom="paragraph">
              <wp:posOffset>-2644</wp:posOffset>
            </wp:positionV>
            <wp:extent cx="961054" cy="9621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1054" cy="962122"/>
                    </a:xfrm>
                    <a:prstGeom prst="rect">
                      <a:avLst/>
                    </a:prstGeom>
                  </pic:spPr>
                </pic:pic>
              </a:graphicData>
            </a:graphic>
            <wp14:sizeRelH relativeFrom="page">
              <wp14:pctWidth>0</wp14:pctWidth>
            </wp14:sizeRelH>
            <wp14:sizeRelV relativeFrom="page">
              <wp14:pctHeight>0</wp14:pctHeight>
            </wp14:sizeRelV>
          </wp:anchor>
        </w:drawing>
      </w:r>
      <w:r w:rsidR="00E3758B">
        <w:t>UNITED STATE</w:t>
      </w:r>
      <w:r>
        <w:t>S</w:t>
      </w:r>
      <w:r w:rsidR="00E3758B">
        <w:t xml:space="preserve"> OF AMERICA</w:t>
      </w:r>
    </w:p>
    <w:p w14:paraId="7B8E1CFD" w14:textId="1C99D989" w:rsidR="003B5DF3" w:rsidRDefault="003B5DF3" w:rsidP="003B5DF3">
      <w:pPr>
        <w:spacing w:before="154"/>
        <w:ind w:right="1"/>
        <w:contextualSpacing/>
        <w:jc w:val="center"/>
        <w:rPr>
          <w:rFonts w:ascii="Times New Roman" w:hAnsi="Times New Roman" w:cs="Times New Roman"/>
          <w:b/>
          <w:w w:val="95"/>
          <w:sz w:val="24"/>
          <w:szCs w:val="24"/>
        </w:rPr>
      </w:pPr>
      <w:r w:rsidRPr="00ED49D1">
        <w:rPr>
          <w:rFonts w:ascii="Times New Roman" w:hAnsi="Times New Roman" w:cs="Times New Roman"/>
          <w:b/>
          <w:w w:val="95"/>
          <w:sz w:val="24"/>
          <w:szCs w:val="24"/>
        </w:rPr>
        <w:t>FEDERAL</w:t>
      </w:r>
      <w:r w:rsidRPr="00ED49D1">
        <w:rPr>
          <w:rFonts w:ascii="Times New Roman" w:hAnsi="Times New Roman" w:cs="Times New Roman"/>
          <w:b/>
          <w:spacing w:val="-20"/>
          <w:w w:val="95"/>
          <w:sz w:val="24"/>
          <w:szCs w:val="24"/>
        </w:rPr>
        <w:t xml:space="preserve"> </w:t>
      </w:r>
      <w:r w:rsidRPr="00ED49D1">
        <w:rPr>
          <w:rFonts w:ascii="Times New Roman" w:hAnsi="Times New Roman" w:cs="Times New Roman"/>
          <w:b/>
          <w:w w:val="95"/>
          <w:sz w:val="24"/>
          <w:szCs w:val="24"/>
        </w:rPr>
        <w:t>LABOR</w:t>
      </w:r>
      <w:r w:rsidRPr="00ED49D1">
        <w:rPr>
          <w:rFonts w:ascii="Times New Roman" w:hAnsi="Times New Roman" w:cs="Times New Roman"/>
          <w:b/>
          <w:spacing w:val="-23"/>
          <w:w w:val="95"/>
          <w:sz w:val="24"/>
          <w:szCs w:val="24"/>
        </w:rPr>
        <w:t xml:space="preserve"> </w:t>
      </w:r>
      <w:r w:rsidRPr="00ED49D1">
        <w:rPr>
          <w:rFonts w:ascii="Times New Roman" w:hAnsi="Times New Roman" w:cs="Times New Roman"/>
          <w:b/>
          <w:w w:val="95"/>
          <w:sz w:val="24"/>
          <w:szCs w:val="24"/>
        </w:rPr>
        <w:t>RELATIONS</w:t>
      </w:r>
      <w:r w:rsidRPr="00ED49D1">
        <w:rPr>
          <w:rFonts w:ascii="Times New Roman" w:hAnsi="Times New Roman" w:cs="Times New Roman"/>
          <w:b/>
          <w:spacing w:val="-22"/>
          <w:w w:val="95"/>
          <w:sz w:val="24"/>
          <w:szCs w:val="24"/>
        </w:rPr>
        <w:t xml:space="preserve"> </w:t>
      </w:r>
      <w:r w:rsidRPr="00ED49D1">
        <w:rPr>
          <w:rFonts w:ascii="Times New Roman" w:hAnsi="Times New Roman" w:cs="Times New Roman"/>
          <w:b/>
          <w:w w:val="95"/>
          <w:sz w:val="24"/>
          <w:szCs w:val="24"/>
        </w:rPr>
        <w:t>AUTHORITY</w:t>
      </w:r>
    </w:p>
    <w:p w14:paraId="75E96C8A" w14:textId="77777777" w:rsidR="000D63B9" w:rsidRDefault="000D63B9" w:rsidP="003B5DF3">
      <w:pPr>
        <w:spacing w:before="154"/>
        <w:ind w:right="1"/>
        <w:contextualSpacing/>
        <w:jc w:val="center"/>
        <w:rPr>
          <w:rFonts w:ascii="Times New Roman" w:hAnsi="Times New Roman" w:cs="Times New Roman"/>
          <w:b/>
          <w:w w:val="95"/>
          <w:sz w:val="24"/>
          <w:szCs w:val="24"/>
        </w:rPr>
      </w:pPr>
    </w:p>
    <w:p w14:paraId="7E5C9E48" w14:textId="77777777" w:rsidR="00030049" w:rsidRDefault="00030049" w:rsidP="003B5DF3">
      <w:pPr>
        <w:spacing w:before="154"/>
        <w:ind w:right="1"/>
        <w:contextualSpacing/>
        <w:jc w:val="center"/>
        <w:rPr>
          <w:rFonts w:ascii="Times New Roman" w:hAnsi="Times New Roman" w:cs="Times New Roman"/>
          <w:b/>
          <w:w w:val="95"/>
          <w:sz w:val="24"/>
          <w:szCs w:val="24"/>
        </w:rPr>
      </w:pPr>
    </w:p>
    <w:p w14:paraId="5786FFC9" w14:textId="77777777" w:rsidR="00030049" w:rsidRDefault="00030049" w:rsidP="003B5DF3">
      <w:pPr>
        <w:spacing w:before="154"/>
        <w:ind w:right="1"/>
        <w:contextualSpacing/>
        <w:jc w:val="center"/>
        <w:rPr>
          <w:rFonts w:ascii="Times New Roman" w:hAnsi="Times New Roman" w:cs="Times New Roman"/>
          <w:b/>
          <w:w w:val="95"/>
          <w:sz w:val="24"/>
          <w:szCs w:val="24"/>
        </w:rPr>
      </w:pPr>
      <w:r>
        <w:rPr>
          <w:rFonts w:ascii="Times New Roman" w:hAnsi="Times New Roman" w:cs="Times New Roman"/>
          <w:b/>
          <w:w w:val="95"/>
          <w:sz w:val="24"/>
          <w:szCs w:val="24"/>
        </w:rPr>
        <w:t xml:space="preserve">STATEMENT OF STANDARD PROCEDURES IN REPRESENTATION </w:t>
      </w:r>
    </w:p>
    <w:p w14:paraId="6F910093" w14:textId="11006748" w:rsidR="000D63B9" w:rsidRDefault="00030049" w:rsidP="003B5DF3">
      <w:pPr>
        <w:spacing w:before="154"/>
        <w:ind w:right="1"/>
        <w:contextualSpacing/>
        <w:jc w:val="center"/>
        <w:rPr>
          <w:rFonts w:ascii="Times New Roman" w:hAnsi="Times New Roman" w:cs="Times New Roman"/>
          <w:b/>
          <w:w w:val="95"/>
          <w:sz w:val="24"/>
          <w:szCs w:val="24"/>
        </w:rPr>
      </w:pPr>
      <w:r>
        <w:rPr>
          <w:rFonts w:ascii="Times New Roman" w:hAnsi="Times New Roman" w:cs="Times New Roman"/>
          <w:b/>
          <w:w w:val="95"/>
          <w:sz w:val="24"/>
          <w:szCs w:val="24"/>
        </w:rPr>
        <w:t>HEARINGS BEFORE HEARING OFFICERS</w:t>
      </w:r>
    </w:p>
    <w:p w14:paraId="553B2C44" w14:textId="5A1E2230" w:rsidR="003B5DF3" w:rsidRDefault="003B5DF3" w:rsidP="003B5DF3">
      <w:pPr>
        <w:spacing w:before="154"/>
        <w:ind w:right="1"/>
        <w:contextualSpacing/>
        <w:jc w:val="center"/>
        <w:rPr>
          <w:rFonts w:ascii="Times New Roman" w:hAnsi="Times New Roman" w:cs="Times New Roman"/>
          <w:b/>
          <w:w w:val="95"/>
          <w:sz w:val="24"/>
          <w:szCs w:val="24"/>
        </w:rPr>
      </w:pPr>
    </w:p>
    <w:p w14:paraId="197B7EAD" w14:textId="77777777" w:rsidR="007F78EB" w:rsidRPr="005C39C8" w:rsidRDefault="007F78EB" w:rsidP="00992D78">
      <w:pPr>
        <w:rPr>
          <w:rFonts w:ascii="Times New Roman" w:hAnsi="Times New Roman" w:cs="Times New Roman"/>
          <w:sz w:val="24"/>
          <w:szCs w:val="24"/>
        </w:rPr>
      </w:pPr>
    </w:p>
    <w:p w14:paraId="549CCCB7" w14:textId="5E08398E" w:rsidR="00E03A38" w:rsidRDefault="009931BB">
      <w:pPr>
        <w:rPr>
          <w:rFonts w:ascii="Times New Roman" w:hAnsi="Times New Roman" w:cs="Times New Roman"/>
          <w:sz w:val="24"/>
          <w:szCs w:val="24"/>
        </w:rPr>
      </w:pPr>
      <w:r>
        <w:rPr>
          <w:rFonts w:ascii="Times New Roman" w:hAnsi="Times New Roman" w:cs="Times New Roman"/>
          <w:sz w:val="24"/>
          <w:szCs w:val="24"/>
        </w:rPr>
        <w:t>The hearing will be conducted by a designated Hearing Officer at the time and place specified in the Notice of Hearing, and in accordance with the provisions of Part 2422 of the Regulations of the Federal Labor Relations Autho</w:t>
      </w:r>
      <w:r w:rsidR="00E03A38">
        <w:rPr>
          <w:rFonts w:ascii="Times New Roman" w:hAnsi="Times New Roman" w:cs="Times New Roman"/>
          <w:sz w:val="24"/>
          <w:szCs w:val="24"/>
        </w:rPr>
        <w:t xml:space="preserve">rity. </w:t>
      </w:r>
      <w:r w:rsidR="004C0D9C">
        <w:rPr>
          <w:rFonts w:ascii="Times New Roman" w:hAnsi="Times New Roman" w:cs="Times New Roman"/>
          <w:sz w:val="24"/>
          <w:szCs w:val="24"/>
        </w:rPr>
        <w:t xml:space="preserve"> </w:t>
      </w:r>
      <w:r w:rsidR="00E03A38">
        <w:rPr>
          <w:rFonts w:ascii="Times New Roman" w:hAnsi="Times New Roman" w:cs="Times New Roman"/>
          <w:sz w:val="24"/>
          <w:szCs w:val="24"/>
        </w:rPr>
        <w:t>In regard to the hearing, the parties should be aware of the following:</w:t>
      </w:r>
    </w:p>
    <w:p w14:paraId="3E2194EE" w14:textId="77777777" w:rsidR="004B242F" w:rsidRDefault="004B242F" w:rsidP="004B242F">
      <w:pPr>
        <w:pStyle w:val="Default"/>
      </w:pPr>
    </w:p>
    <w:p w14:paraId="32C4D599" w14:textId="43C3183A" w:rsidR="004B242F" w:rsidRPr="004B242F" w:rsidRDefault="004B242F">
      <w:pPr>
        <w:rPr>
          <w:rFonts w:ascii="Times New Roman" w:hAnsi="Times New Roman" w:cs="Times New Roman"/>
          <w:sz w:val="24"/>
          <w:szCs w:val="24"/>
        </w:rPr>
      </w:pPr>
      <w:r w:rsidRPr="00EB33D3">
        <w:rPr>
          <w:rFonts w:ascii="Times New Roman" w:eastAsiaTheme="minorHAnsi" w:hAnsi="Times New Roman" w:cs="Times New Roman"/>
          <w:b/>
          <w:bCs/>
          <w:color w:val="000000"/>
          <w:sz w:val="24"/>
          <w:szCs w:val="24"/>
        </w:rPr>
        <w:t xml:space="preserve">1. PURPOSE OF HEARING: </w:t>
      </w:r>
      <w:r w:rsidRPr="00EB33D3">
        <w:rPr>
          <w:rFonts w:ascii="Times New Roman" w:eastAsiaTheme="minorHAnsi" w:hAnsi="Times New Roman" w:cs="Times New Roman"/>
          <w:color w:val="000000"/>
          <w:sz w:val="24"/>
          <w:szCs w:val="24"/>
        </w:rPr>
        <w:t xml:space="preserve">The representation case hearing is a formal proceeding that is part of the investigation in a representation case. </w:t>
      </w:r>
      <w:r w:rsidR="004C0D9C">
        <w:t xml:space="preserve"> </w:t>
      </w:r>
      <w:r w:rsidRPr="00EB33D3">
        <w:rPr>
          <w:rFonts w:ascii="Times New Roman" w:eastAsiaTheme="minorHAnsi" w:hAnsi="Times New Roman" w:cs="Times New Roman"/>
          <w:color w:val="000000"/>
          <w:sz w:val="24"/>
          <w:szCs w:val="24"/>
        </w:rPr>
        <w:t>Its purpose is to inquire into any matter about which a material issue of fact exists, and any time there is reasonable cause to believe a question exists regarding unit appropriateness.</w:t>
      </w:r>
    </w:p>
    <w:p w14:paraId="78D31543" w14:textId="77777777" w:rsidR="004B242F" w:rsidRPr="004B242F" w:rsidRDefault="004B242F" w:rsidP="004B242F">
      <w:pPr>
        <w:pStyle w:val="Default"/>
      </w:pPr>
    </w:p>
    <w:p w14:paraId="54E3A2ED" w14:textId="2E855352" w:rsidR="004B242F" w:rsidRPr="00EB33D3" w:rsidRDefault="004B242F" w:rsidP="004B242F">
      <w:pPr>
        <w:pStyle w:val="Default"/>
      </w:pPr>
      <w:r w:rsidRPr="00EB33D3">
        <w:t xml:space="preserve">The purpose of a representation hearing is to develop a full and complete factual record. </w:t>
      </w:r>
      <w:r w:rsidR="004C0D9C">
        <w:t xml:space="preserve"> </w:t>
      </w:r>
      <w:r w:rsidRPr="00EB33D3">
        <w:t xml:space="preserve">The rules of relevancy and materiality are paramount. </w:t>
      </w:r>
      <w:r w:rsidR="004C0D9C">
        <w:t xml:space="preserve"> </w:t>
      </w:r>
      <w:r w:rsidRPr="00EB33D3">
        <w:t xml:space="preserve">There is no burden of proof, except in cases involving objections to the procedural conduct of an election or to conduct which may have improperly affected the outcome of an election. </w:t>
      </w:r>
      <w:r w:rsidR="004C0D9C">
        <w:t xml:space="preserve"> </w:t>
      </w:r>
      <w:r w:rsidRPr="00EB33D3">
        <w:t>The technical rules of evidence do not apply.</w:t>
      </w:r>
    </w:p>
    <w:p w14:paraId="08EE77B5" w14:textId="77777777" w:rsidR="004B242F" w:rsidRPr="00EB33D3" w:rsidRDefault="004B242F" w:rsidP="004B242F">
      <w:pPr>
        <w:pStyle w:val="Default"/>
      </w:pPr>
    </w:p>
    <w:p w14:paraId="3BEE340A" w14:textId="0E43EBBC" w:rsidR="004B242F" w:rsidRPr="00EB33D3" w:rsidRDefault="004B242F" w:rsidP="004B242F">
      <w:pPr>
        <w:pStyle w:val="Default"/>
      </w:pPr>
      <w:r w:rsidRPr="00EB33D3">
        <w:rPr>
          <w:b/>
          <w:bCs/>
        </w:rPr>
        <w:t xml:space="preserve">2. DUTY OF THE HEARING OFFICER: </w:t>
      </w:r>
      <w:r w:rsidRPr="00EB33D3">
        <w:t>The Hearing Officer will receive evidence</w:t>
      </w:r>
      <w:r w:rsidR="007C7BFA">
        <w:t xml:space="preserve"> and</w:t>
      </w:r>
      <w:r w:rsidRPr="00EB33D3">
        <w:t xml:space="preserve"> inquire fully into relevant and material facts concerning the matters that are the subject of the hearing.</w:t>
      </w:r>
    </w:p>
    <w:p w14:paraId="3B3AE783" w14:textId="77777777" w:rsidR="004B242F" w:rsidRPr="00EB33D3" w:rsidRDefault="004B242F" w:rsidP="004B242F">
      <w:pPr>
        <w:pStyle w:val="Default"/>
      </w:pPr>
    </w:p>
    <w:p w14:paraId="3C4F4A96" w14:textId="5EB73F38" w:rsidR="004B242F" w:rsidRPr="00EB33D3" w:rsidRDefault="004B242F" w:rsidP="004B242F">
      <w:pPr>
        <w:pStyle w:val="Default"/>
      </w:pPr>
      <w:r w:rsidRPr="00EB33D3">
        <w:rPr>
          <w:b/>
          <w:bCs/>
        </w:rPr>
        <w:t xml:space="preserve">3. PREHEARING CONFERENCE: </w:t>
      </w:r>
      <w:r w:rsidRPr="00EB33D3">
        <w:t xml:space="preserve">A prehearing conference will be conducted by the Hearing Officer. </w:t>
      </w:r>
      <w:r w:rsidR="004C0D9C">
        <w:t xml:space="preserve"> </w:t>
      </w:r>
      <w:r w:rsidRPr="00EB33D3">
        <w:t>All parties must participate in a prehearing conference and be prepared to fully discuss, narrow</w:t>
      </w:r>
      <w:r w:rsidR="004C0D9C">
        <w:t>,</w:t>
      </w:r>
      <w:r w:rsidRPr="00EB33D3">
        <w:t xml:space="preserve"> and resolve the issues set forth in the notification of the prehearing conference.</w:t>
      </w:r>
    </w:p>
    <w:p w14:paraId="1ECB3D93" w14:textId="77777777" w:rsidR="004B242F" w:rsidRPr="00EB33D3" w:rsidRDefault="004B242F" w:rsidP="004B242F">
      <w:pPr>
        <w:pStyle w:val="Default"/>
      </w:pPr>
    </w:p>
    <w:p w14:paraId="48ED25FF" w14:textId="370142D4" w:rsidR="004B242F" w:rsidRPr="00EB33D3" w:rsidRDefault="004B242F" w:rsidP="004B242F">
      <w:pPr>
        <w:pStyle w:val="Default"/>
      </w:pPr>
      <w:r w:rsidRPr="00EB33D3">
        <w:rPr>
          <w:b/>
          <w:bCs/>
        </w:rPr>
        <w:t xml:space="preserve">4. STIPULATIONS IN LIEU OF HEARINGS: </w:t>
      </w:r>
      <w:r w:rsidRPr="00EB33D3">
        <w:t xml:space="preserve">Stipulations in lieu of hearings are permissible and encouraged in most representation matters. </w:t>
      </w:r>
      <w:r w:rsidR="004C0D9C">
        <w:t xml:space="preserve"> </w:t>
      </w:r>
      <w:r w:rsidRPr="00EB33D3">
        <w:t xml:space="preserve">Section 2422.30(b) of the Regulations states that when the </w:t>
      </w:r>
      <w:r w:rsidR="001C1766">
        <w:t>Federal Labor Relations Authority</w:t>
      </w:r>
      <w:r w:rsidRPr="00EB33D3">
        <w:t xml:space="preserve"> has reasonable cause to believe a question exists regarding unit appropriateness, the </w:t>
      </w:r>
      <w:r w:rsidR="001C1766">
        <w:t>Federal Labor Relations Authority</w:t>
      </w:r>
      <w:r w:rsidRPr="00EB33D3">
        <w:t xml:space="preserve"> will issue a notice of hearing.</w:t>
      </w:r>
      <w:r w:rsidR="004C0D9C">
        <w:t xml:space="preserve"> </w:t>
      </w:r>
      <w:r w:rsidRPr="00EB33D3">
        <w:t xml:space="preserve"> The parties may waive a hearing by entering into a stipulation for the purpose of entering into an election agreement, subject to the </w:t>
      </w:r>
      <w:r w:rsidR="001C1766">
        <w:t>Federal Labor Relations Authority</w:t>
      </w:r>
      <w:r w:rsidR="00365C4C">
        <w:t>’s</w:t>
      </w:r>
      <w:r w:rsidRPr="00EB33D3">
        <w:t xml:space="preserve"> approval. </w:t>
      </w:r>
      <w:r w:rsidR="004C0D9C">
        <w:t xml:space="preserve"> </w:t>
      </w:r>
      <w:r w:rsidRPr="00EB33D3">
        <w:t>Absent an election agreement, the parties may enter into a stipulation addressing all appropriate unit issues in lieu of a hearing</w:t>
      </w:r>
      <w:r w:rsidR="00D06D42">
        <w:t>,</w:t>
      </w:r>
      <w:r w:rsidRPr="00EB33D3">
        <w:t xml:space="preserve"> if the stipulation includes a waiver of the parties’ right to a hearing.</w:t>
      </w:r>
    </w:p>
    <w:p w14:paraId="5E7678B5" w14:textId="77777777" w:rsidR="004B242F" w:rsidRPr="00EB33D3" w:rsidRDefault="004B242F" w:rsidP="004B242F">
      <w:pPr>
        <w:pStyle w:val="Default"/>
      </w:pPr>
    </w:p>
    <w:p w14:paraId="3C1402FC" w14:textId="71C806AE" w:rsidR="00153612" w:rsidRDefault="004B242F" w:rsidP="00153612">
      <w:pPr>
        <w:pStyle w:val="Default"/>
      </w:pPr>
      <w:r w:rsidRPr="00EB33D3">
        <w:rPr>
          <w:b/>
          <w:bCs/>
        </w:rPr>
        <w:t xml:space="preserve">5. PREHEARING MOTION TO POSTPONE HEARING: </w:t>
      </w:r>
      <w:r w:rsidRPr="00EB33D3">
        <w:t xml:space="preserve">Unless otherwise specifically ordered, the hearing will be held at the date, hour, and place indicated. </w:t>
      </w:r>
      <w:r w:rsidR="00D06D42">
        <w:t xml:space="preserve"> </w:t>
      </w:r>
      <w:r w:rsidRPr="00EB33D3">
        <w:t xml:space="preserve">Postponements will not be granted unless good and sufficient grounds are shown and the following requirements are met: (a) the request must be in writing and served on the </w:t>
      </w:r>
      <w:r w:rsidR="00365C4C">
        <w:t>Regional Director</w:t>
      </w:r>
      <w:r w:rsidRPr="00EB33D3">
        <w:t xml:space="preserve">; (b) the reasons for the request must be set forth in detail; (c) alternate dates for any rescheduled hearing must be given; </w:t>
      </w:r>
      <w:r w:rsidRPr="00EB33D3">
        <w:lastRenderedPageBreak/>
        <w:t>(d) the positions of all other parties must be ascertained in advance by the requesting party</w:t>
      </w:r>
      <w:r w:rsidR="00153612" w:rsidRPr="00153612">
        <w:t xml:space="preserve"> </w:t>
      </w:r>
      <w:r w:rsidR="00153612" w:rsidRPr="00EB33D3">
        <w:t>and set forth in the request; and (e) copies must be served on all other parties and that fact must be noted on the request.</w:t>
      </w:r>
      <w:r w:rsidR="00D06D42">
        <w:t xml:space="preserve"> </w:t>
      </w:r>
      <w:r w:rsidR="00153612" w:rsidRPr="00EB33D3">
        <w:t xml:space="preserve"> Except under the most extraordinary circumstances, no request for postponement will be granted during the five days immediately preceding the date of hearing.</w:t>
      </w:r>
    </w:p>
    <w:p w14:paraId="11456CE0" w14:textId="7C78A9B8" w:rsidR="00153612" w:rsidRPr="00EB33D3" w:rsidRDefault="00153612" w:rsidP="00153612">
      <w:pPr>
        <w:pStyle w:val="Default"/>
      </w:pPr>
      <w:r w:rsidRPr="00EB33D3">
        <w:t xml:space="preserve"> </w:t>
      </w:r>
    </w:p>
    <w:p w14:paraId="2F6E8247" w14:textId="42140BD3" w:rsidR="00153612" w:rsidRDefault="00153612" w:rsidP="00153612">
      <w:pPr>
        <w:pStyle w:val="Default"/>
      </w:pPr>
      <w:r w:rsidRPr="00EB33D3">
        <w:rPr>
          <w:b/>
          <w:bCs/>
        </w:rPr>
        <w:t xml:space="preserve">6. PREHEARING EXCHANGE OF EXHIBITS: </w:t>
      </w:r>
      <w:r w:rsidRPr="00EB33D3">
        <w:t xml:space="preserve">Any party intending to introduce documentary exhibits at the hearing is expected to furnish a copy of each proposed exhibit to each of the other parties at least five days before the hearing. </w:t>
      </w:r>
      <w:r w:rsidR="00D06D42">
        <w:t xml:space="preserve"> </w:t>
      </w:r>
      <w:r w:rsidRPr="00EB33D3">
        <w:t xml:space="preserve">This </w:t>
      </w:r>
      <w:r w:rsidR="00D06D42">
        <w:t xml:space="preserve">exchange </w:t>
      </w:r>
      <w:r w:rsidRPr="00EB33D3">
        <w:t>will facilitate the expeditious development of a full record for decision by the</w:t>
      </w:r>
      <w:r w:rsidRPr="000D1361">
        <w:t xml:space="preserve"> Federal Labor Relations Authority</w:t>
      </w:r>
      <w:r w:rsidRPr="00EB33D3">
        <w:t>.</w:t>
      </w:r>
    </w:p>
    <w:p w14:paraId="1B9B3632" w14:textId="77777777" w:rsidR="001E370B" w:rsidRPr="00EB33D3" w:rsidRDefault="001E370B" w:rsidP="00153612">
      <w:pPr>
        <w:pStyle w:val="Default"/>
      </w:pPr>
    </w:p>
    <w:p w14:paraId="3D889A69" w14:textId="16166A62" w:rsidR="00153612" w:rsidRDefault="00153612" w:rsidP="00153612">
      <w:pPr>
        <w:pStyle w:val="Default"/>
      </w:pPr>
      <w:r w:rsidRPr="00EB33D3">
        <w:t>Where a copy of the exhibit is not tendered to the other parties because it was not contemplated prior to the opening of the hearing, a copy of the exhibit should be furnished to the other parties at the time it is offered in evidence.</w:t>
      </w:r>
    </w:p>
    <w:p w14:paraId="27F5C8A6" w14:textId="77777777" w:rsidR="00153612" w:rsidRPr="00EB33D3" w:rsidRDefault="00153612" w:rsidP="00153612">
      <w:pPr>
        <w:pStyle w:val="Default"/>
      </w:pPr>
    </w:p>
    <w:p w14:paraId="3C9885F6" w14:textId="7E9001EF" w:rsidR="00153612" w:rsidRDefault="00153612" w:rsidP="00153612">
      <w:pPr>
        <w:pStyle w:val="Default"/>
      </w:pPr>
      <w:r w:rsidRPr="00EB33D3">
        <w:t>Two copies of each documentary exhibit must be submitted to the Hearing Officer at the time it is offered in evidence at the hearing.</w:t>
      </w:r>
      <w:r w:rsidR="0006654C">
        <w:t xml:space="preserve"> </w:t>
      </w:r>
      <w:r w:rsidRPr="00EB33D3">
        <w:t xml:space="preserve"> Objections to any exhibit should be reserved for the hearing when the exhibit is offered in evidence.</w:t>
      </w:r>
    </w:p>
    <w:p w14:paraId="1A1124A3" w14:textId="77777777" w:rsidR="00153612" w:rsidRPr="00EB33D3" w:rsidRDefault="00153612" w:rsidP="00153612">
      <w:pPr>
        <w:pStyle w:val="Default"/>
      </w:pPr>
    </w:p>
    <w:p w14:paraId="425803B6" w14:textId="75A72DB9" w:rsidR="00153612" w:rsidRDefault="00153612" w:rsidP="00153612">
      <w:pPr>
        <w:pStyle w:val="Default"/>
      </w:pPr>
      <w:r w:rsidRPr="00EB33D3">
        <w:rPr>
          <w:b/>
          <w:bCs/>
        </w:rPr>
        <w:t xml:space="preserve">7. RIGHTS OF THE PARTIES: </w:t>
      </w:r>
      <w:r w:rsidRPr="00EB33D3">
        <w:t>A party at a hearing will have the right to appear in person or by a representative; to examine and cross-examine witnesses</w:t>
      </w:r>
      <w:r w:rsidR="0006654C">
        <w:t>,</w:t>
      </w:r>
      <w:r w:rsidRPr="00EB33D3">
        <w:t xml:space="preserve"> and introduce into the record documentary or other relevant evidence.</w:t>
      </w:r>
    </w:p>
    <w:p w14:paraId="1306FE45" w14:textId="77777777" w:rsidR="00153612" w:rsidRPr="00EB33D3" w:rsidRDefault="00153612" w:rsidP="00153612">
      <w:pPr>
        <w:pStyle w:val="Default"/>
      </w:pPr>
    </w:p>
    <w:p w14:paraId="459332AF" w14:textId="6343A2AF" w:rsidR="00153612" w:rsidRDefault="00153612" w:rsidP="00153612">
      <w:pPr>
        <w:pStyle w:val="Default"/>
      </w:pPr>
      <w:r w:rsidRPr="00EB33D3">
        <w:rPr>
          <w:b/>
          <w:bCs/>
        </w:rPr>
        <w:t xml:space="preserve">8. OFFICIAL TRANSCRIPT: </w:t>
      </w:r>
      <w:r w:rsidRPr="00EB33D3">
        <w:t xml:space="preserve">An official reporter makes the only official transcript of the proceedings, and all citations in briefs and arguments must refer to the official record. </w:t>
      </w:r>
      <w:r w:rsidR="0006654C">
        <w:t xml:space="preserve"> </w:t>
      </w:r>
      <w:r w:rsidRPr="00EB33D3">
        <w:t xml:space="preserve">Proposed corrections of the transcript should be submitted, either by way of stipulation or motion, to the </w:t>
      </w:r>
      <w:r w:rsidR="001E370B">
        <w:t xml:space="preserve">Regional Director for the </w:t>
      </w:r>
      <w:r w:rsidRPr="000D1361">
        <w:t>Federal Labor Relations Authority</w:t>
      </w:r>
      <w:r w:rsidR="000B400E">
        <w:t>’s</w:t>
      </w:r>
      <w:r>
        <w:t xml:space="preserve"> </w:t>
      </w:r>
      <w:r w:rsidRPr="00EB33D3">
        <w:t xml:space="preserve">approval. </w:t>
      </w:r>
      <w:r w:rsidR="0006654C">
        <w:t xml:space="preserve"> </w:t>
      </w:r>
      <w:r w:rsidRPr="00EB33D3">
        <w:t xml:space="preserve">Copies of the official transcript may be examined in the appropriate Regional Office during normal </w:t>
      </w:r>
      <w:r w:rsidR="0006654C">
        <w:t>business</w:t>
      </w:r>
      <w:r w:rsidRPr="00EB33D3">
        <w:t xml:space="preserve"> hours. </w:t>
      </w:r>
      <w:r w:rsidR="0006654C">
        <w:t xml:space="preserve"> </w:t>
      </w:r>
      <w:r w:rsidRPr="00EB33D3">
        <w:t>Requests to purchase copies of the official transcript should be made to the official hearing reporter.</w:t>
      </w:r>
    </w:p>
    <w:p w14:paraId="7B054A65" w14:textId="77777777" w:rsidR="00153612" w:rsidRPr="00EB33D3" w:rsidRDefault="00153612" w:rsidP="00153612">
      <w:pPr>
        <w:pStyle w:val="Default"/>
      </w:pPr>
    </w:p>
    <w:p w14:paraId="3B0C4E0C" w14:textId="0704D16F" w:rsidR="00153612" w:rsidRDefault="00153612" w:rsidP="00153612">
      <w:pPr>
        <w:pStyle w:val="Default"/>
      </w:pPr>
      <w:r w:rsidRPr="00EB33D3">
        <w:rPr>
          <w:b/>
          <w:bCs/>
        </w:rPr>
        <w:t xml:space="preserve">9. OFF-THE-RECORD DISCUSSION: </w:t>
      </w:r>
      <w:r w:rsidRPr="00EB33D3">
        <w:t>All matter that is spoken in the hearing room while the hearing is in session will be recorded by the official reporter unless the Hearing Officer specifically directs an off-the-record discussion.</w:t>
      </w:r>
      <w:r w:rsidR="00837BB6">
        <w:t xml:space="preserve"> </w:t>
      </w:r>
      <w:r w:rsidRPr="00EB33D3">
        <w:t xml:space="preserve"> In the event that any party wishes to make off</w:t>
      </w:r>
      <w:r w:rsidR="00837BB6">
        <w:noBreakHyphen/>
      </w:r>
      <w:r w:rsidRPr="00EB33D3">
        <w:t xml:space="preserve">the-record statements, a request to go off the record should be directed to the Hearing Officer and not to the official reporter. </w:t>
      </w:r>
      <w:r w:rsidR="00837BB6">
        <w:t xml:space="preserve"> </w:t>
      </w:r>
      <w:r w:rsidRPr="00EB33D3">
        <w:t>Pertinent off-the-record discussions will be summarized on the record.</w:t>
      </w:r>
    </w:p>
    <w:p w14:paraId="772CA02E" w14:textId="77777777" w:rsidR="00153612" w:rsidRPr="00EB33D3" w:rsidRDefault="00153612" w:rsidP="00153612">
      <w:pPr>
        <w:pStyle w:val="Default"/>
      </w:pPr>
    </w:p>
    <w:p w14:paraId="621B0078" w14:textId="5EE35096" w:rsidR="00153612" w:rsidRDefault="00153612" w:rsidP="00153612">
      <w:pPr>
        <w:pStyle w:val="Default"/>
      </w:pPr>
      <w:r w:rsidRPr="00EB33D3">
        <w:rPr>
          <w:b/>
          <w:bCs/>
        </w:rPr>
        <w:t xml:space="preserve">10. MOTIONS AND OBJECTIONS: </w:t>
      </w:r>
      <w:r w:rsidRPr="00EB33D3">
        <w:t xml:space="preserve">Statements of reasons in support of motions and objections should be specific and concise. </w:t>
      </w:r>
      <w:r w:rsidR="00837BB6">
        <w:t xml:space="preserve"> </w:t>
      </w:r>
      <w:r w:rsidRPr="00EB33D3">
        <w:t>Automatic exception will be allowed to all adverse rulings, and upon appropriate request, an objection or exception may be permitted to stand to an entire line of questioning.</w:t>
      </w:r>
    </w:p>
    <w:p w14:paraId="47FB674F" w14:textId="77777777" w:rsidR="00153612" w:rsidRPr="00EB33D3" w:rsidRDefault="00153612" w:rsidP="00153612">
      <w:pPr>
        <w:pStyle w:val="Default"/>
      </w:pPr>
    </w:p>
    <w:p w14:paraId="54602190" w14:textId="51976C59" w:rsidR="004B242F" w:rsidRDefault="00153612" w:rsidP="00153612">
      <w:pPr>
        <w:rPr>
          <w:rFonts w:ascii="Times New Roman" w:hAnsi="Times New Roman" w:cs="Times New Roman"/>
          <w:sz w:val="24"/>
          <w:szCs w:val="24"/>
        </w:rPr>
      </w:pPr>
      <w:r w:rsidRPr="00EB33D3">
        <w:rPr>
          <w:rFonts w:ascii="Times New Roman" w:hAnsi="Times New Roman" w:cs="Times New Roman"/>
          <w:b/>
          <w:bCs/>
          <w:sz w:val="24"/>
          <w:szCs w:val="24"/>
        </w:rPr>
        <w:t xml:space="preserve">11. ORAL ARGUMENT: </w:t>
      </w:r>
      <w:r w:rsidRPr="00EB33D3">
        <w:rPr>
          <w:rFonts w:ascii="Times New Roman" w:hAnsi="Times New Roman" w:cs="Times New Roman"/>
          <w:sz w:val="24"/>
          <w:szCs w:val="24"/>
        </w:rPr>
        <w:t>Any party shall be entitled to a reasonable period of time prior to the close of the hearing for oral argument.</w:t>
      </w:r>
      <w:r w:rsidR="00837BB6">
        <w:rPr>
          <w:rFonts w:ascii="Times New Roman" w:hAnsi="Times New Roman" w:cs="Times New Roman"/>
          <w:sz w:val="24"/>
          <w:szCs w:val="24"/>
        </w:rPr>
        <w:t xml:space="preserve"> </w:t>
      </w:r>
      <w:r w:rsidRPr="00EB33D3">
        <w:rPr>
          <w:rFonts w:ascii="Times New Roman" w:hAnsi="Times New Roman" w:cs="Times New Roman"/>
          <w:sz w:val="24"/>
          <w:szCs w:val="24"/>
        </w:rPr>
        <w:t xml:space="preserve"> Any oral argument will be included in the official transcript of the hearing. </w:t>
      </w:r>
      <w:r w:rsidR="00837BB6">
        <w:rPr>
          <w:rFonts w:ascii="Times New Roman" w:hAnsi="Times New Roman" w:cs="Times New Roman"/>
          <w:sz w:val="24"/>
          <w:szCs w:val="24"/>
        </w:rPr>
        <w:t xml:space="preserve"> </w:t>
      </w:r>
      <w:r w:rsidRPr="00EB33D3">
        <w:rPr>
          <w:rFonts w:ascii="Times New Roman" w:hAnsi="Times New Roman" w:cs="Times New Roman"/>
          <w:sz w:val="24"/>
          <w:szCs w:val="24"/>
        </w:rPr>
        <w:t xml:space="preserve">Presentation of a closing oral argument does not preclude a party from filing </w:t>
      </w:r>
      <w:r w:rsidR="00837BB6">
        <w:rPr>
          <w:rFonts w:ascii="Times New Roman" w:hAnsi="Times New Roman" w:cs="Times New Roman"/>
          <w:sz w:val="24"/>
          <w:szCs w:val="24"/>
        </w:rPr>
        <w:t>post-hearing</w:t>
      </w:r>
      <w:r w:rsidRPr="00EB33D3">
        <w:rPr>
          <w:rFonts w:ascii="Times New Roman" w:hAnsi="Times New Roman" w:cs="Times New Roman"/>
          <w:sz w:val="24"/>
          <w:szCs w:val="24"/>
        </w:rPr>
        <w:t xml:space="preserve"> brief</w:t>
      </w:r>
      <w:r w:rsidR="00837BB6">
        <w:rPr>
          <w:rFonts w:ascii="Times New Roman" w:hAnsi="Times New Roman" w:cs="Times New Roman"/>
          <w:sz w:val="24"/>
          <w:szCs w:val="24"/>
        </w:rPr>
        <w:t>s</w:t>
      </w:r>
      <w:r w:rsidRPr="00EB33D3">
        <w:rPr>
          <w:rFonts w:ascii="Times New Roman" w:hAnsi="Times New Roman" w:cs="Times New Roman"/>
          <w:sz w:val="24"/>
          <w:szCs w:val="24"/>
        </w:rPr>
        <w:t xml:space="preserve"> (see Item 12). </w:t>
      </w:r>
      <w:r w:rsidR="00837BB6">
        <w:rPr>
          <w:rFonts w:ascii="Times New Roman" w:hAnsi="Times New Roman" w:cs="Times New Roman"/>
          <w:sz w:val="24"/>
          <w:szCs w:val="24"/>
        </w:rPr>
        <w:t xml:space="preserve"> </w:t>
      </w:r>
      <w:r w:rsidRPr="00EB33D3">
        <w:rPr>
          <w:rFonts w:ascii="Times New Roman" w:hAnsi="Times New Roman" w:cs="Times New Roman"/>
          <w:sz w:val="24"/>
          <w:szCs w:val="24"/>
        </w:rPr>
        <w:t>The Hearing Officer may also ask for a statement of position concerning any issue in the case or theory in support thereof, if at the close of the hearing the Hearing Officer believes that such oral argument would be beneficial to the understanding of the contentions of the parties and the factual issues involved.</w:t>
      </w:r>
    </w:p>
    <w:p w14:paraId="344DECA8" w14:textId="77777777" w:rsidR="00DA0FF8" w:rsidRDefault="00DA0FF8" w:rsidP="00153612">
      <w:pPr>
        <w:rPr>
          <w:rFonts w:ascii="Times New Roman" w:hAnsi="Times New Roman" w:cs="Times New Roman"/>
          <w:sz w:val="24"/>
          <w:szCs w:val="24"/>
        </w:rPr>
      </w:pPr>
    </w:p>
    <w:p w14:paraId="08DF5CB7" w14:textId="13950388" w:rsidR="00DA0FF8" w:rsidRDefault="00DA0FF8" w:rsidP="00DA0FF8">
      <w:pPr>
        <w:pStyle w:val="Default"/>
      </w:pPr>
      <w:r w:rsidRPr="00EB33D3">
        <w:rPr>
          <w:b/>
          <w:bCs/>
        </w:rPr>
        <w:t xml:space="preserve">12. FILING OF BRIEFS: </w:t>
      </w:r>
      <w:r w:rsidR="00AD6228">
        <w:t xml:space="preserve">Any party desiring to file an initial post-hearing brief must file it </w:t>
      </w:r>
      <w:r w:rsidRPr="00EB33D3">
        <w:t xml:space="preserve">within thirty days after the close of the hearing and serve a copy of the brief on each of the parties. </w:t>
      </w:r>
      <w:r w:rsidR="004B1E13">
        <w:t xml:space="preserve"> </w:t>
      </w:r>
      <w:r w:rsidR="00376277" w:rsidRPr="00376277">
        <w:t xml:space="preserve">Any party desiring to file a reply brief to another party’s initial brief must file the reply brief </w:t>
      </w:r>
      <w:r w:rsidR="00376277">
        <w:t>within</w:t>
      </w:r>
      <w:r w:rsidR="00376277" w:rsidRPr="00376277">
        <w:t xml:space="preserve"> ten days from the filing of the initial brief</w:t>
      </w:r>
      <w:r w:rsidR="002A2DC4">
        <w:t xml:space="preserve"> </w:t>
      </w:r>
      <w:r w:rsidR="002A2DC4" w:rsidRPr="00603D6C">
        <w:t>and serve a copy of the brief on each of the parties</w:t>
      </w:r>
      <w:r w:rsidR="00376277" w:rsidRPr="00376277">
        <w:t>.</w:t>
      </w:r>
      <w:r w:rsidR="00376277">
        <w:t xml:space="preserve">  For both initial and reply briefs, a</w:t>
      </w:r>
      <w:r w:rsidRPr="00EB33D3">
        <w:t xml:space="preserve"> statement of such service must be filed with the </w:t>
      </w:r>
      <w:r w:rsidR="00376277">
        <w:t>Regional Director</w:t>
      </w:r>
      <w:r w:rsidRPr="00EB33D3">
        <w:t>.</w:t>
      </w:r>
    </w:p>
    <w:p w14:paraId="3ABBB9D8" w14:textId="77777777" w:rsidR="00DA0FF8" w:rsidRPr="00EB33D3" w:rsidRDefault="00DA0FF8" w:rsidP="00DA0FF8">
      <w:pPr>
        <w:pStyle w:val="Default"/>
      </w:pPr>
    </w:p>
    <w:p w14:paraId="66B623B0" w14:textId="20420A42" w:rsidR="000D7D54" w:rsidRPr="007B3180" w:rsidRDefault="00DA0FF8">
      <w:pPr>
        <w:rPr>
          <w:rFonts w:ascii="Times New Roman" w:hAnsi="Times New Roman" w:cs="Times New Roman"/>
          <w:sz w:val="24"/>
          <w:szCs w:val="24"/>
        </w:rPr>
      </w:pPr>
      <w:r w:rsidRPr="00EB33D3">
        <w:rPr>
          <w:rFonts w:ascii="Times New Roman" w:hAnsi="Times New Roman" w:cs="Times New Roman"/>
          <w:b/>
          <w:bCs/>
          <w:sz w:val="24"/>
          <w:szCs w:val="24"/>
        </w:rPr>
        <w:t xml:space="preserve">13. REQUESTS FOR ADDITIONAL TIME TO FILE BRIEFS AFTER THE CLOSE OF THE HEARING: </w:t>
      </w:r>
      <w:r w:rsidRPr="00EB33D3">
        <w:rPr>
          <w:rFonts w:ascii="Times New Roman" w:hAnsi="Times New Roman" w:cs="Times New Roman"/>
          <w:sz w:val="24"/>
          <w:szCs w:val="24"/>
        </w:rPr>
        <w:t xml:space="preserve">Requests for an extension of time within which to file briefs must be made to the </w:t>
      </w:r>
      <w:r w:rsidR="00667F2B">
        <w:rPr>
          <w:rFonts w:ascii="Times New Roman" w:hAnsi="Times New Roman" w:cs="Times New Roman"/>
          <w:sz w:val="24"/>
          <w:szCs w:val="24"/>
        </w:rPr>
        <w:t>Regional Director</w:t>
      </w:r>
      <w:r w:rsidRPr="00EB33D3">
        <w:rPr>
          <w:rFonts w:ascii="Times New Roman" w:hAnsi="Times New Roman" w:cs="Times New Roman"/>
          <w:sz w:val="24"/>
          <w:szCs w:val="24"/>
        </w:rPr>
        <w:t xml:space="preserve"> in writing and received no later than five days before the date such briefs are due. </w:t>
      </w:r>
      <w:r w:rsidR="002A2DC4">
        <w:rPr>
          <w:rFonts w:ascii="Times New Roman" w:hAnsi="Times New Roman" w:cs="Times New Roman"/>
          <w:sz w:val="24"/>
          <w:szCs w:val="24"/>
        </w:rPr>
        <w:t xml:space="preserve"> </w:t>
      </w:r>
      <w:r w:rsidRPr="00EB33D3">
        <w:rPr>
          <w:rFonts w:ascii="Times New Roman" w:hAnsi="Times New Roman" w:cs="Times New Roman"/>
          <w:sz w:val="24"/>
          <w:szCs w:val="24"/>
        </w:rPr>
        <w:t xml:space="preserve">Copies of the request for an extension must be served on all other parties, and a statement of service must be filed with the </w:t>
      </w:r>
      <w:r w:rsidR="00667F2B">
        <w:rPr>
          <w:rFonts w:ascii="Times New Roman" w:hAnsi="Times New Roman" w:cs="Times New Roman"/>
          <w:sz w:val="24"/>
          <w:szCs w:val="24"/>
        </w:rPr>
        <w:t>Regional Director</w:t>
      </w:r>
      <w:r w:rsidRPr="00EB33D3">
        <w:rPr>
          <w:rFonts w:ascii="Times New Roman" w:hAnsi="Times New Roman" w:cs="Times New Roman"/>
          <w:sz w:val="24"/>
          <w:szCs w:val="24"/>
        </w:rPr>
        <w:t>.</w:t>
      </w:r>
    </w:p>
    <w:sectPr w:rsidR="000D7D54" w:rsidRPr="007B31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12F9" w14:textId="77777777" w:rsidR="003B5DF3" w:rsidRDefault="003B5DF3" w:rsidP="003B5DF3">
      <w:r>
        <w:separator/>
      </w:r>
    </w:p>
  </w:endnote>
  <w:endnote w:type="continuationSeparator" w:id="0">
    <w:p w14:paraId="308AC28F" w14:textId="77777777" w:rsidR="003B5DF3" w:rsidRDefault="003B5DF3" w:rsidP="003B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5931" w14:textId="4011B6D0" w:rsidR="005F5869" w:rsidRDefault="005F5869">
    <w:pPr>
      <w:pStyle w:val="Footer"/>
    </w:pPr>
    <w:r>
      <w:rPr>
        <w:noProof/>
      </w:rPr>
      <mc:AlternateContent>
        <mc:Choice Requires="wpg">
          <w:drawing>
            <wp:anchor distT="0" distB="0" distL="114300" distR="114300" simplePos="0" relativeHeight="251659264" behindDoc="0" locked="0" layoutInCell="1" allowOverlap="1" wp14:anchorId="029F28E0" wp14:editId="2EEFCEA6">
              <wp:simplePos x="0" y="0"/>
              <wp:positionH relativeFrom="page">
                <wp:align>right</wp:align>
              </wp:positionH>
              <wp:positionV relativeFrom="bottomMargin">
                <wp:align>center</wp:align>
              </wp:positionV>
              <wp:extent cx="6172200" cy="282575"/>
              <wp:effectExtent l="0" t="0" r="0" b="3175"/>
              <wp:wrapNone/>
              <wp:docPr id="164" name="Group 164"/>
              <wp:cNvGraphicFramePr/>
              <a:graphic xmlns:a="http://schemas.openxmlformats.org/drawingml/2006/main">
                <a:graphicData uri="http://schemas.microsoft.com/office/word/2010/wordprocessingGroup">
                  <wpg:wgp>
                    <wpg:cNvGrpSpPr/>
                    <wpg:grpSpPr>
                      <a:xfrm>
                        <a:off x="0" y="0"/>
                        <a:ext cx="6172200" cy="282575"/>
                        <a:chOff x="0" y="0"/>
                        <a:chExt cx="6172200" cy="282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C0FBE" w14:textId="4871A75C" w:rsidR="005F5869" w:rsidRDefault="005569BA">
                            <w:pPr>
                              <w:pStyle w:val="Footer"/>
                              <w:tabs>
                                <w:tab w:val="clear" w:pos="4680"/>
                                <w:tab w:val="clear" w:pos="9360"/>
                              </w:tabs>
                              <w:jc w:val="right"/>
                            </w:pPr>
                            <w:sdt>
                              <w:sdtPr>
                                <w:rPr>
                                  <w:rFonts w:ascii="Times New Roman" w:hAnsi="Times New Roman" w:cs="Times New Roman"/>
                                  <w:caps/>
                                  <w:color w:val="4472C4" w:themeColor="accent1"/>
                                  <w:sz w:val="24"/>
                                  <w:szCs w:val="24"/>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52EDA">
                                  <w:rPr>
                                    <w:rFonts w:ascii="Times New Roman" w:hAnsi="Times New Roman" w:cs="Times New Roman"/>
                                    <w:caps/>
                                    <w:color w:val="4472C4" w:themeColor="accent1"/>
                                    <w:sz w:val="24"/>
                                    <w:szCs w:val="24"/>
                                  </w:rPr>
                                  <w:t xml:space="preserve">FLRA Form </w:t>
                                </w:r>
                                <w:r w:rsidR="00C51B03">
                                  <w:rPr>
                                    <w:rFonts w:ascii="Times New Roman" w:hAnsi="Times New Roman" w:cs="Times New Roman"/>
                                    <w:caps/>
                                    <w:color w:val="4472C4" w:themeColor="accent1"/>
                                    <w:sz w:val="24"/>
                                    <w:szCs w:val="24"/>
                                  </w:rPr>
                                  <w:t>101</w:t>
                                </w:r>
                                <w:r w:rsidR="009931BB">
                                  <w:rPr>
                                    <w:rFonts w:ascii="Times New Roman" w:hAnsi="Times New Roman" w:cs="Times New Roman"/>
                                    <w:caps/>
                                    <w:color w:val="4472C4" w:themeColor="accent1"/>
                                    <w:sz w:val="24"/>
                                    <w:szCs w:val="24"/>
                                  </w:rPr>
                                  <w:t>4</w:t>
                                </w:r>
                              </w:sdtContent>
                            </w:sdt>
                            <w:r w:rsidR="005F586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25683">
                                  <w:rPr>
                                    <w:color w:val="808080" w:themeColor="background1" w:themeShade="80"/>
                                    <w:sz w:val="20"/>
                                    <w:szCs w:val="20"/>
                                  </w:rPr>
                                  <w:t>(Rev. 4/26)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29F28E0" id="Group 164" o:spid="_x0000_s1026" style="position:absolute;margin-left:434.8pt;margin-top:0;width:486pt;height:22.25pt;z-index:251659264;mso-position-horizontal:right;mso-position-horizontal-relative:page;mso-position-vertical:center;mso-position-vertical-relative:bottom-margin-area" coordsize="617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31ZhwMAAK8KAAAOAAAAZHJzL2Uyb0RvYy54bWzEVltv1DwQfUfiP1h+p9lNd7dt1BSVQiuk&#10;CipaxLPXcS7CsY3tbdLv138zdpLellIBKvuQ9WUunuM5Jzl827eSXAvrGq1yOt+ZUSIU10Wjqpx+&#10;vTp9s0+J80wVTGolcnojHH179PrVYWcykepay0JYAkGUyzqT09p7kyWJ47VomdvRRijYLLVtmYep&#10;rZLCsg6itzJJZ7NV0mlbGKu5cA5W38dNehTil6Xg/nNZOuGJzCmczYenDc81PpOjQ5ZVlpm64cMx&#10;2G+comWNgqRTqPfMM7KxzaNQbcOtdrr0O1y3iS7LhotQA1Qznz2o5szqjQm1VFlXmQkmgPYBTr8d&#10;ln+6vrCkKeDuVgtKFGvhkkJeggsAT2eqDKzOrLk0F3ZYqOIMK+5L2+I/1EL6AOzNBKzoPeGwuJrv&#10;pXBblHDYS/fT5d4yIs9ruJ5Hbrz+8LRjMqZN8HTTYToDTeRucXJ/htNlzYwI8DtEYMJpOeL0BdqL&#10;qUoKwCoUhAcAywkolznAbAtKabq/QjweQ7U8WOyGrQDV3mI3DU06VcwyY50/E7olOMiphUOE1mPX&#10;587D/YDpaIKZnZZNcdpIGSbIK3EiLblmwIh1NY+u0tQsLo3ZAgPRMgS8F0QqDKU0Bo35cAWuYiw3&#10;jPyNFGgn1RdRQodBG6Qh2RQ5JmScC+XjOVzNChGXlzP4YZNAOZNHmIWAGLmE/FPsIcD9+sbYMcxg&#10;j64iSMPkPHvqYNF58giZtfKTc9sobbcFkFDVkDnajyBFaBCltS5uoK+sjsLkDD9t4FbPmfMXzIIS&#10;QY+AuvrP8Cil7nKqhxEltbb/bVtHe2h82KWkA2XLqfuxYVZQIj8qoMTBfLFAKQyTxXIPGozYuzvr&#10;uztq055oaJU56LjhYYj2Xo7D0ur2G4jwMWaFLaY45M4p93acnPiouCDjXBwfBzOQP8P8ubo0HIMj&#10;qti1V/03Zs3Q2h7045MeaciyBx0ebdFT6eON12UT2v8W1wFvkASUsRfRhtWoDVeofe90D9Kwwi7A&#10;/IM0EN/DBlY9rP9EJABM0IeDZTqI5aimDyRid7YciTJq8cj/Z0rERGVkK4EmW+1CyAjsfZKPzBmU&#10;BouKhw+jLZR/BrO28/kZji/N5+L7L/ns+3U/XOq/oDZ0zBZaw+rfobR/MUI7g4Q+fYrQ4dUPX0Xh&#10;nTB8weFn1915EIDb78yj/wEAAP//AwBQSwMEFAAGAAgAAAAhACmrutHcAAAABAEAAA8AAABkcnMv&#10;ZG93bnJldi54bWxMj0FLw0AQhe+C/2EZwZvdpLZaYzalFPVUBFtBepsm0yQ0Oxuy2yT9945e9PLg&#10;8Yb3vkmXo21UT52vHRuIJxEo4twVNZcGPnevdwtQPiAX2DgmAxfysMyur1JMCjfwB/XbUCopYZ+g&#10;gSqENtHa5xVZ9BPXEkt2dJ3FILYrddHhIOW20dMoetAWa5aFCltaV5Sftmdr4G3AYXUfv/Sb03F9&#10;2e/m71+bmIy5vRlXz6ACjeHvGH7wBR0yYTq4MxdeNQbkkfCrkj09TsUeDMxmc9BZqv/DZ98AAAD/&#10;/wMAUEsBAi0AFAAGAAgAAAAhALaDOJL+AAAA4QEAABMAAAAAAAAAAAAAAAAAAAAAAFtDb250ZW50&#10;X1R5cGVzXS54bWxQSwECLQAUAAYACAAAACEAOP0h/9YAAACUAQAACwAAAAAAAAAAAAAAAAAvAQAA&#10;X3JlbHMvLnJlbHNQSwECLQAUAAYACAAAACEAUi99WYcDAACvCgAADgAAAAAAAAAAAAAAAAAuAgAA&#10;ZHJzL2Uyb0RvYy54bWxQSwECLQAUAAYACAAAACEAKau60dwAAAAEAQAADwAAAAAAAAAAAAAAAADh&#10;BQAAZHJzL2Rvd25yZXYueG1sUEsFBgAAAAAEAAQA8wAAAOo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49C0FBE" w14:textId="4871A75C" w:rsidR="005F5869" w:rsidRDefault="00EB33D3">
                      <w:pPr>
                        <w:pStyle w:val="Footer"/>
                        <w:tabs>
                          <w:tab w:val="clear" w:pos="4680"/>
                          <w:tab w:val="clear" w:pos="9360"/>
                        </w:tabs>
                        <w:jc w:val="right"/>
                      </w:pPr>
                      <w:sdt>
                        <w:sdtPr>
                          <w:rPr>
                            <w:rFonts w:ascii="Times New Roman" w:hAnsi="Times New Roman" w:cs="Times New Roman"/>
                            <w:caps/>
                            <w:color w:val="4472C4" w:themeColor="accent1"/>
                            <w:sz w:val="24"/>
                            <w:szCs w:val="24"/>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52EDA">
                            <w:rPr>
                              <w:rFonts w:ascii="Times New Roman" w:hAnsi="Times New Roman" w:cs="Times New Roman"/>
                              <w:caps/>
                              <w:color w:val="4472C4" w:themeColor="accent1"/>
                              <w:sz w:val="24"/>
                              <w:szCs w:val="24"/>
                            </w:rPr>
                            <w:t xml:space="preserve">FLRA Form </w:t>
                          </w:r>
                          <w:r w:rsidR="00C51B03">
                            <w:rPr>
                              <w:rFonts w:ascii="Times New Roman" w:hAnsi="Times New Roman" w:cs="Times New Roman"/>
                              <w:caps/>
                              <w:color w:val="4472C4" w:themeColor="accent1"/>
                              <w:sz w:val="24"/>
                              <w:szCs w:val="24"/>
                            </w:rPr>
                            <w:t>101</w:t>
                          </w:r>
                          <w:r w:rsidR="009931BB">
                            <w:rPr>
                              <w:rFonts w:ascii="Times New Roman" w:hAnsi="Times New Roman" w:cs="Times New Roman"/>
                              <w:caps/>
                              <w:color w:val="4472C4" w:themeColor="accent1"/>
                              <w:sz w:val="24"/>
                              <w:szCs w:val="24"/>
                            </w:rPr>
                            <w:t>4</w:t>
                          </w:r>
                        </w:sdtContent>
                      </w:sdt>
                      <w:r w:rsidR="005F5869">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25683">
                            <w:rPr>
                              <w:color w:val="808080" w:themeColor="background1" w:themeShade="80"/>
                              <w:sz w:val="20"/>
                              <w:szCs w:val="20"/>
                            </w:rPr>
                            <w:t>(Rev. 4/26)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D1CB" w14:textId="77777777" w:rsidR="003B5DF3" w:rsidRDefault="003B5DF3" w:rsidP="003B5DF3">
      <w:r>
        <w:separator/>
      </w:r>
    </w:p>
  </w:footnote>
  <w:footnote w:type="continuationSeparator" w:id="0">
    <w:p w14:paraId="53D47479" w14:textId="77777777" w:rsidR="003B5DF3" w:rsidRDefault="003B5DF3" w:rsidP="003B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2CE"/>
    <w:multiLevelType w:val="hybridMultilevel"/>
    <w:tmpl w:val="57A0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31A09"/>
    <w:multiLevelType w:val="hybridMultilevel"/>
    <w:tmpl w:val="780CE336"/>
    <w:lvl w:ilvl="0" w:tplc="185A7EF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A00C0"/>
    <w:multiLevelType w:val="hybridMultilevel"/>
    <w:tmpl w:val="D00E343E"/>
    <w:lvl w:ilvl="0" w:tplc="9AC05F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60167"/>
    <w:multiLevelType w:val="hybridMultilevel"/>
    <w:tmpl w:val="9E6C3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C633F6"/>
    <w:multiLevelType w:val="hybridMultilevel"/>
    <w:tmpl w:val="9BB4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D1CF0"/>
    <w:multiLevelType w:val="hybridMultilevel"/>
    <w:tmpl w:val="BF441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47C45"/>
    <w:multiLevelType w:val="hybridMultilevel"/>
    <w:tmpl w:val="75F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F3"/>
    <w:rsid w:val="00001208"/>
    <w:rsid w:val="00012CED"/>
    <w:rsid w:val="00013244"/>
    <w:rsid w:val="00030049"/>
    <w:rsid w:val="0005222A"/>
    <w:rsid w:val="00066062"/>
    <w:rsid w:val="0006654C"/>
    <w:rsid w:val="000B400E"/>
    <w:rsid w:val="000C49C2"/>
    <w:rsid w:val="000D63B9"/>
    <w:rsid w:val="000D7D54"/>
    <w:rsid w:val="0011646B"/>
    <w:rsid w:val="00133159"/>
    <w:rsid w:val="00153612"/>
    <w:rsid w:val="001A715D"/>
    <w:rsid w:val="001B48D0"/>
    <w:rsid w:val="001C1766"/>
    <w:rsid w:val="001E370B"/>
    <w:rsid w:val="001F32BD"/>
    <w:rsid w:val="00200334"/>
    <w:rsid w:val="00257884"/>
    <w:rsid w:val="00273327"/>
    <w:rsid w:val="002A2DC4"/>
    <w:rsid w:val="002B731F"/>
    <w:rsid w:val="002D649F"/>
    <w:rsid w:val="002F2C53"/>
    <w:rsid w:val="00315532"/>
    <w:rsid w:val="00335B91"/>
    <w:rsid w:val="00337D1B"/>
    <w:rsid w:val="00365C4C"/>
    <w:rsid w:val="00376277"/>
    <w:rsid w:val="003A45E1"/>
    <w:rsid w:val="003B5DF3"/>
    <w:rsid w:val="003D46F1"/>
    <w:rsid w:val="003F63E1"/>
    <w:rsid w:val="00410FAC"/>
    <w:rsid w:val="00425683"/>
    <w:rsid w:val="00442118"/>
    <w:rsid w:val="004825B2"/>
    <w:rsid w:val="004A0105"/>
    <w:rsid w:val="004B1E13"/>
    <w:rsid w:val="004B242F"/>
    <w:rsid w:val="004C0D9C"/>
    <w:rsid w:val="004D1A8C"/>
    <w:rsid w:val="004D5975"/>
    <w:rsid w:val="004F7EF5"/>
    <w:rsid w:val="00506FF1"/>
    <w:rsid w:val="005321F9"/>
    <w:rsid w:val="005569BA"/>
    <w:rsid w:val="00556F44"/>
    <w:rsid w:val="00563DAB"/>
    <w:rsid w:val="005A66D5"/>
    <w:rsid w:val="005C39C8"/>
    <w:rsid w:val="005E374E"/>
    <w:rsid w:val="005F5869"/>
    <w:rsid w:val="00602194"/>
    <w:rsid w:val="00635D7A"/>
    <w:rsid w:val="00636972"/>
    <w:rsid w:val="00652EDA"/>
    <w:rsid w:val="00667F2B"/>
    <w:rsid w:val="00682779"/>
    <w:rsid w:val="006D3B2C"/>
    <w:rsid w:val="006E0851"/>
    <w:rsid w:val="006E29C1"/>
    <w:rsid w:val="00751453"/>
    <w:rsid w:val="00792F84"/>
    <w:rsid w:val="007A1262"/>
    <w:rsid w:val="007B3180"/>
    <w:rsid w:val="007C7BFA"/>
    <w:rsid w:val="007D470B"/>
    <w:rsid w:val="007E255F"/>
    <w:rsid w:val="007F78EB"/>
    <w:rsid w:val="00801FDA"/>
    <w:rsid w:val="00802440"/>
    <w:rsid w:val="00837BB6"/>
    <w:rsid w:val="008522CA"/>
    <w:rsid w:val="00863B00"/>
    <w:rsid w:val="008A44C9"/>
    <w:rsid w:val="008B1376"/>
    <w:rsid w:val="00921CDA"/>
    <w:rsid w:val="00960A7E"/>
    <w:rsid w:val="00961B9F"/>
    <w:rsid w:val="0099281D"/>
    <w:rsid w:val="00992D78"/>
    <w:rsid w:val="009931BB"/>
    <w:rsid w:val="009C52A4"/>
    <w:rsid w:val="00A140C5"/>
    <w:rsid w:val="00A47BF3"/>
    <w:rsid w:val="00AA4CBB"/>
    <w:rsid w:val="00AB3AA0"/>
    <w:rsid w:val="00AD144F"/>
    <w:rsid w:val="00AD6228"/>
    <w:rsid w:val="00AE61B4"/>
    <w:rsid w:val="00B66EA4"/>
    <w:rsid w:val="00BE0403"/>
    <w:rsid w:val="00C0096A"/>
    <w:rsid w:val="00C03330"/>
    <w:rsid w:val="00C5027F"/>
    <w:rsid w:val="00C51B03"/>
    <w:rsid w:val="00C64EC7"/>
    <w:rsid w:val="00C8663D"/>
    <w:rsid w:val="00C86EB0"/>
    <w:rsid w:val="00C91A00"/>
    <w:rsid w:val="00CA2CD7"/>
    <w:rsid w:val="00CB4DA7"/>
    <w:rsid w:val="00CB595D"/>
    <w:rsid w:val="00CF15D6"/>
    <w:rsid w:val="00CF2DD4"/>
    <w:rsid w:val="00CF6090"/>
    <w:rsid w:val="00D036D8"/>
    <w:rsid w:val="00D0403E"/>
    <w:rsid w:val="00D05423"/>
    <w:rsid w:val="00D06D42"/>
    <w:rsid w:val="00DA0FF8"/>
    <w:rsid w:val="00DD2A21"/>
    <w:rsid w:val="00E03A38"/>
    <w:rsid w:val="00E1457E"/>
    <w:rsid w:val="00E3758B"/>
    <w:rsid w:val="00E427B0"/>
    <w:rsid w:val="00EA4497"/>
    <w:rsid w:val="00EB33D3"/>
    <w:rsid w:val="00EB3E83"/>
    <w:rsid w:val="00EC48D7"/>
    <w:rsid w:val="00F06594"/>
    <w:rsid w:val="00F3756C"/>
    <w:rsid w:val="00F41FB8"/>
    <w:rsid w:val="00F43BB6"/>
    <w:rsid w:val="00F55F37"/>
    <w:rsid w:val="00F602BC"/>
    <w:rsid w:val="00F62B35"/>
    <w:rsid w:val="00F743B2"/>
    <w:rsid w:val="00F847FC"/>
    <w:rsid w:val="00F85B59"/>
    <w:rsid w:val="00F90C2D"/>
    <w:rsid w:val="00F93AC6"/>
    <w:rsid w:val="00FB1CB9"/>
    <w:rsid w:val="00FF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FA93F2"/>
  <w15:chartTrackingRefBased/>
  <w15:docId w15:val="{9D1032D2-A9B4-40BA-BBA9-6781D1B1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F3"/>
    <w:pPr>
      <w:widowControl w:val="0"/>
      <w:autoSpaceDE w:val="0"/>
      <w:autoSpaceDN w:val="0"/>
      <w:spacing w:after="0" w:line="240" w:lineRule="auto"/>
    </w:pPr>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DF3"/>
    <w:pPr>
      <w:tabs>
        <w:tab w:val="center" w:pos="4680"/>
        <w:tab w:val="right" w:pos="9360"/>
      </w:tabs>
    </w:pPr>
  </w:style>
  <w:style w:type="character" w:customStyle="1" w:styleId="HeaderChar">
    <w:name w:val="Header Char"/>
    <w:basedOn w:val="DefaultParagraphFont"/>
    <w:link w:val="Header"/>
    <w:uiPriority w:val="99"/>
    <w:rsid w:val="003B5DF3"/>
    <w:rPr>
      <w:rFonts w:ascii="Verdana" w:eastAsia="Verdana" w:hAnsi="Verdana" w:cs="Verdana"/>
    </w:rPr>
  </w:style>
  <w:style w:type="paragraph" w:styleId="Footer">
    <w:name w:val="footer"/>
    <w:basedOn w:val="Normal"/>
    <w:link w:val="FooterChar"/>
    <w:uiPriority w:val="99"/>
    <w:unhideWhenUsed/>
    <w:rsid w:val="003B5DF3"/>
    <w:pPr>
      <w:tabs>
        <w:tab w:val="center" w:pos="4680"/>
        <w:tab w:val="right" w:pos="9360"/>
      </w:tabs>
    </w:pPr>
  </w:style>
  <w:style w:type="character" w:customStyle="1" w:styleId="FooterChar">
    <w:name w:val="Footer Char"/>
    <w:basedOn w:val="DefaultParagraphFont"/>
    <w:link w:val="Footer"/>
    <w:uiPriority w:val="99"/>
    <w:rsid w:val="003B5DF3"/>
    <w:rPr>
      <w:rFonts w:ascii="Verdana" w:eastAsia="Verdana" w:hAnsi="Verdana" w:cs="Verdana"/>
    </w:rPr>
  </w:style>
  <w:style w:type="paragraph" w:styleId="ListParagraph">
    <w:name w:val="List Paragraph"/>
    <w:basedOn w:val="Normal"/>
    <w:uiPriority w:val="34"/>
    <w:qFormat/>
    <w:rsid w:val="000D63B9"/>
    <w:pPr>
      <w:ind w:left="720"/>
      <w:contextualSpacing/>
    </w:pPr>
  </w:style>
  <w:style w:type="table" w:styleId="TableGrid">
    <w:name w:val="Table Grid"/>
    <w:basedOn w:val="TableNormal"/>
    <w:uiPriority w:val="39"/>
    <w:rsid w:val="00CF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242F"/>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7C7BFA"/>
    <w:pPr>
      <w:contextualSpacing/>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7C7BFA"/>
    <w:rPr>
      <w:rFonts w:ascii="Times New Roman" w:eastAsia="Verdana" w:hAnsi="Times New Roman" w:cs="Times New Roman"/>
      <w:b/>
      <w:sz w:val="24"/>
      <w:szCs w:val="24"/>
    </w:rPr>
  </w:style>
  <w:style w:type="character" w:styleId="CommentReference">
    <w:name w:val="annotation reference"/>
    <w:basedOn w:val="DefaultParagraphFont"/>
    <w:uiPriority w:val="99"/>
    <w:semiHidden/>
    <w:unhideWhenUsed/>
    <w:rsid w:val="00F602BC"/>
    <w:rPr>
      <w:sz w:val="16"/>
      <w:szCs w:val="16"/>
    </w:rPr>
  </w:style>
  <w:style w:type="paragraph" w:styleId="CommentText">
    <w:name w:val="annotation text"/>
    <w:basedOn w:val="Normal"/>
    <w:link w:val="CommentTextChar"/>
    <w:uiPriority w:val="99"/>
    <w:semiHidden/>
    <w:unhideWhenUsed/>
    <w:rsid w:val="00F602BC"/>
    <w:rPr>
      <w:sz w:val="20"/>
      <w:szCs w:val="20"/>
    </w:rPr>
  </w:style>
  <w:style w:type="character" w:customStyle="1" w:styleId="CommentTextChar">
    <w:name w:val="Comment Text Char"/>
    <w:basedOn w:val="DefaultParagraphFont"/>
    <w:link w:val="CommentText"/>
    <w:uiPriority w:val="99"/>
    <w:semiHidden/>
    <w:rsid w:val="00F602BC"/>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F602BC"/>
    <w:rPr>
      <w:b/>
      <w:bCs/>
    </w:rPr>
  </w:style>
  <w:style w:type="character" w:customStyle="1" w:styleId="CommentSubjectChar">
    <w:name w:val="Comment Subject Char"/>
    <w:basedOn w:val="CommentTextChar"/>
    <w:link w:val="CommentSubject"/>
    <w:uiPriority w:val="99"/>
    <w:semiHidden/>
    <w:rsid w:val="00F602BC"/>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4B71E6BF31F46904B787B743B6720" ma:contentTypeVersion="20" ma:contentTypeDescription="Create a new document." ma:contentTypeScope="" ma:versionID="142d103b909c5b47f4133d92ce512724">
  <xsd:schema xmlns:xsd="http://www.w3.org/2001/XMLSchema" xmlns:xs="http://www.w3.org/2001/XMLSchema" xmlns:p="http://schemas.microsoft.com/office/2006/metadata/properties" xmlns:ns1="http://schemas.microsoft.com/sharepoint/v3" xmlns:ns2="c0933b4c-ad03-4413-845c-dff9c92c7f4c" xmlns:ns3="52890171-d791-474c-b5ba-86af976c761c" targetNamespace="http://schemas.microsoft.com/office/2006/metadata/properties" ma:root="true" ma:fieldsID="aff7dedab93736765145c62393de8817" ns1:_="" ns2:_="" ns3:_="">
    <xsd:import namespace="http://schemas.microsoft.com/sharepoint/v3"/>
    <xsd:import namespace="c0933b4c-ad03-4413-845c-dff9c92c7f4c"/>
    <xsd:import namespace="52890171-d791-474c-b5ba-86af976c761c"/>
    <xsd:element name="properties">
      <xsd:complexType>
        <xsd:sequence>
          <xsd:element name="documentManagement">
            <xsd:complexType>
              <xsd:all>
                <xsd:element ref="ns2:BureauofPrison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33b4c-ad03-4413-845c-dff9c92c7f4c" elementFormDefault="qualified">
    <xsd:import namespace="http://schemas.microsoft.com/office/2006/documentManagement/types"/>
    <xsd:import namespace="http://schemas.microsoft.com/office/infopath/2007/PartnerControls"/>
    <xsd:element name="BureauofPrisons" ma:index="8" nillable="true" ma:displayName="Agency - Union" ma:format="Dropdown" ma:internalName="BureauofPris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c8cc34-e232-413e-bcdd-38eeae8909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90171-d791-474c-b5ba-86af976c7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5fc85d-faaf-4174-ba22-9248c21d6508}" ma:internalName="TaxCatchAll" ma:showField="CatchAllData" ma:web="52890171-d791-474c-b5ba-86af976c7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ureauofPrisons xmlns="c0933b4c-ad03-4413-845c-dff9c92c7f4c" xsi:nil="true"/>
    <lcf76f155ced4ddcb4097134ff3c332f xmlns="c0933b4c-ad03-4413-845c-dff9c92c7f4c">
      <Terms xmlns="http://schemas.microsoft.com/office/infopath/2007/PartnerControls"/>
    </lcf76f155ced4ddcb4097134ff3c332f>
    <_ip_UnifiedCompliancePolicyProperties xmlns="http://schemas.microsoft.com/sharepoint/v3" xsi:nil="true"/>
    <TaxCatchAll xmlns="52890171-d791-474c-b5ba-86af976c761c" xsi:nil="true"/>
  </documentManagement>
</p:properties>
</file>

<file path=customXml/itemProps1.xml><?xml version="1.0" encoding="utf-8"?>
<ds:datastoreItem xmlns:ds="http://schemas.openxmlformats.org/officeDocument/2006/customXml" ds:itemID="{DB271BDF-11CA-47F5-8D48-E8FC9DF3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33b4c-ad03-4413-845c-dff9c92c7f4c"/>
    <ds:schemaRef ds:uri="52890171-d791-474c-b5ba-86af976c7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74050-6A6C-4B95-AF86-B89D947AF207}">
  <ds:schemaRefs>
    <ds:schemaRef ds:uri="http://schemas.openxmlformats.org/officeDocument/2006/bibliography"/>
  </ds:schemaRefs>
</ds:datastoreItem>
</file>

<file path=customXml/itemProps3.xml><?xml version="1.0" encoding="utf-8"?>
<ds:datastoreItem xmlns:ds="http://schemas.openxmlformats.org/officeDocument/2006/customXml" ds:itemID="{BA6EF5A9-CE5B-489B-8720-E90F7065825B}">
  <ds:schemaRefs>
    <ds:schemaRef ds:uri="http://schemas.microsoft.com/sharepoint/v3/contenttype/forms"/>
  </ds:schemaRefs>
</ds:datastoreItem>
</file>

<file path=customXml/itemProps4.xml><?xml version="1.0" encoding="utf-8"?>
<ds:datastoreItem xmlns:ds="http://schemas.openxmlformats.org/officeDocument/2006/customXml" ds:itemID="{DF90B95B-2B27-469C-9532-D82F275E44FA}">
  <ds:schemaRefs>
    <ds:schemaRef ds:uri="http://schemas.microsoft.com/office/2006/metadata/properties"/>
    <ds:schemaRef ds:uri="http://schemas.microsoft.com/office/infopath/2007/PartnerControls"/>
    <ds:schemaRef ds:uri="http://schemas.microsoft.com/sharepoint/v3"/>
    <ds:schemaRef ds:uri="c0933b4c-ad03-4413-845c-dff9c92c7f4c"/>
    <ds:schemaRef ds:uri="52890171-d791-474c-b5ba-86af976c761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FLRA Form 1014</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FLRA Form 1014</dc:title>
  <dc:subject>(Rev. 4/26)</dc:subject>
  <dc:creator>Diaz, LaJeanne</dc:creator>
  <cp:keywords/>
  <dc:description/>
  <cp:lastModifiedBy>Аuthоr</cp:lastModifiedBy>
  <cp:revision>4</cp:revision>
  <dcterms:created xsi:type="dcterms:W3CDTF">2026-04-13T16:47:00Z</dcterms:created>
  <dcterms:modified xsi:type="dcterms:W3CDTF">2026-04-17T14:53:00Z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0x010100A954B71E6BF31F46904B787B743B6720</vt:lpwstr>
  </property>
</Properties>
</file>